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/>
        <w:jc w:val="center"/>
      </w:pPr>
      <w:r>
        <w:rPr>
          <w:rFonts w:ascii="Microsoft YaHei" w:hAnsi="Microsoft YaHei" w:eastAsia="Microsoft YaHei"/>
          <w:b/>
          <w:color w:val="13A88A"/>
          <w:sz w:val="28"/>
        </w:rPr>
        <w:t>产品项目复盘文档</w:t>
      </w:r>
    </w:p>
    <w:p>
      <w:pPr>
        <w:spacing w:before="480"/>
        <w:jc w:val="center"/>
      </w:pPr>
      <w:r>
        <w:rPr>
          <w:rFonts w:ascii="Microsoft YaHei" w:hAnsi="Microsoft YaHei" w:eastAsia="Microsoft YaHei"/>
          <w:b/>
          <w:color w:val="1F2933"/>
          <w:sz w:val="56"/>
        </w:rPr>
        <w:t>校易换校园闲置交换小程序</w:t>
      </w:r>
    </w:p>
    <w:p>
      <w:pPr>
        <w:spacing w:before="240"/>
        <w:jc w:val="center"/>
      </w:pPr>
      <w:r>
        <w:rPr>
          <w:rFonts w:ascii="Microsoft YaHei" w:hAnsi="Microsoft YaHei" w:eastAsia="Microsoft YaHei"/>
          <w:color w:val="666666"/>
          <w:sz w:val="26"/>
        </w:rPr>
        <w:t>面向同校大学生的闲置物品交换、赠送与低价流转平台</w:t>
      </w:r>
    </w:p>
    <w:p>
      <w:pPr>
        <w:spacing w:after="36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8F7F3"/>
            <w:top w:val="single" w:sz="8" w:space="0" w:color="C7E7DE"/>
            <w:left w:val="single" w:sz="8" w:space="0" w:color="C7E7DE"/>
            <w:bottom w:val="single" w:sz="8" w:space="0" w:color="C7E7DE"/>
            <w:right w:val="single" w:sz="8" w:space="0" w:color="C7E7DE"/>
            <w:insideH w:val="single" w:sz="8" w:space="0" w:color="C7E7DE"/>
            <w:insideV w:val="single" w:sz="8" w:space="0" w:color="C7E7DE"/>
          </w:tcPr>
          <w:p>
            <w:pPr>
              <w:spacing w:after="40"/>
            </w:pPr>
            <w:r>
              <w:rPr>
                <w:rFonts w:ascii="Microsoft YaHei" w:hAnsi="Microsoft YaHei" w:eastAsia="Microsoft YaHei"/>
                <w:b/>
                <w:color w:val="08715F"/>
                <w:sz w:val="21"/>
              </w:rPr>
              <w:t>复盘目标</w:t>
            </w:r>
          </w:p>
          <w:p>
            <w:pPr>
              <w:spacing w:after="0" w:line="288" w:lineRule="auto"/>
            </w:pPr>
            <w:r>
              <w:rPr>
                <w:rFonts w:ascii="Microsoft YaHei" w:hAnsi="Microsoft YaHei" w:eastAsia="Microsoft YaHei"/>
                <w:color w:val="1F2933"/>
                <w:sz w:val="19"/>
              </w:rPr>
              <w:t>从产品思维、差异化定位、用户场景闭环、产品局限和后续迭代方向五个角度，对「校易换」项目进行总结，形成可面试口述、可放入作品集的项目复盘材料。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1814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项目字段</w:t>
            </w:r>
          </w:p>
        </w:tc>
        <w:tc>
          <w:tcPr>
            <w:tcW w:type="dxa" w:w="7087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产品类型</w:t>
            </w:r>
          </w:p>
        </w:tc>
        <w:tc>
          <w:tcPr>
            <w:tcW w:type="dxa" w:w="708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C端校园小程序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核心用户</w:t>
            </w:r>
          </w:p>
        </w:tc>
        <w:tc>
          <w:tcPr>
            <w:tcW w:type="dxa" w:w="708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毕业生出闲置、低年级学生收闲置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一期范围</w:t>
            </w:r>
          </w:p>
        </w:tc>
        <w:tc>
          <w:tcPr>
            <w:tcW w:type="dxa" w:w="708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登录认证、校园核验、商品发布、首页广场、详情页、私信沟通、个人中心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复盘视角</w:t>
            </w:r>
          </w:p>
        </w:tc>
        <w:tc>
          <w:tcPr>
            <w:tcW w:type="dxa" w:w="708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设计亮点、当前不足、下一版本迭代与商业化方向</w:t>
            </w:r>
          </w:p>
        </w:tc>
      </w:tr>
    </w:tbl>
    <w:p>
      <w:pPr>
        <w:spacing w:after="80"/>
      </w:pPr>
    </w:p>
    <w:p>
      <w:pPr>
        <w:spacing w:before="400"/>
        <w:jc w:val="center"/>
      </w:pPr>
      <w:r>
        <w:rPr>
          <w:rFonts w:ascii="Microsoft YaHei" w:hAnsi="Microsoft YaHei" w:eastAsia="Microsoft YaHei"/>
          <w:color w:val="666666"/>
          <w:sz w:val="20"/>
        </w:rPr>
        <w:t>适用场景：产品经理实习面试 / 个人作品集 / PRD项目总结页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b/>
          <w:color w:val="08715F"/>
          <w:sz w:val="36"/>
        </w:rPr>
        <w:t>一、本次项目设计亮点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本次「校易换」项目没有简单复制闲鱼的交易模式，而是围绕“同校学生之间低信任成本、低价值物品快速流转”的具体场景进行设计。项目重点不在于做一个大而全的二手交易平台，而是解决校园内闲置物品“卖不动、扔可惜、找人麻烦、沟通分散”的真实问题。</w:t>
      </w: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1. 产品思维：从真实场景出发，而不是从功能堆砌出发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项目将用户拆分为两类高频角色：毕业生出闲置和低年级学生收闲置。前者希望快速处理宿舍物品、减少搬运成本；后者希望低价获得教材、宿舍用品、小家电等刚需物品。基于这两类角色，产品主线围绕“发布 - 浏览 - 私信 - 完成流转 - 我的发布管理”形成完整闭环。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毕业生侧：重点解决毕业季时间紧、物品多、低价值物品难出售的问题。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低年级学生侧：重点解决找不到同校物品、外部平台沟通慢、同城面交不方便的问题。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平台侧：重点提升校园内闲置物品流转效率，而不是追求复杂交易链路。</w:t>
      </w: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2. 差异化定位：介于闲鱼和微信群之间的校园垂直工具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闲鱼的优势是流量和交易体系，但用户来源复杂，低价值校园物品不一定有足够需求；校内二手微信群的优势是同校熟人关系，但信息杂乱、检索困难、无统一沟通和发布规范。校易换的差异化在于用“同校认证 + 校园闲置广场 + 私信沟通 + 我的发布管理”建立轻量但规范的校园闲置流转场。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814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设计亮点</w:t>
            </w:r>
          </w:p>
        </w:tc>
        <w:tc>
          <w:tcPr>
            <w:tcW w:type="dxa" w:w="2551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产品思考</w:t>
            </w:r>
          </w:p>
        </w:tc>
        <w:tc>
          <w:tcPr>
            <w:tcW w:type="dxa" w:w="2381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用户价值</w:t>
            </w:r>
          </w:p>
        </w:tc>
        <w:tc>
          <w:tcPr>
            <w:tcW w:type="dxa" w:w="2608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作品集表达重点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同校学生认证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先降低陌生交易的不确定性，再推动交易沟通</w:t>
            </w:r>
          </w:p>
        </w:tc>
        <w:tc>
          <w:tcPr>
            <w:tcW w:type="dxa" w:w="238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提升信任感，减少校外人员混杂</w:t>
            </w:r>
          </w:p>
        </w:tc>
        <w:tc>
          <w:tcPr>
            <w:tcW w:type="dxa" w:w="260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能体现对校园场景信任机制的理解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首页闲置广场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将分散在群聊中的闲置信息结构化展示</w:t>
            </w:r>
          </w:p>
        </w:tc>
        <w:tc>
          <w:tcPr>
            <w:tcW w:type="dxa" w:w="238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用户能快速浏览同校闲置，提高发现效率</w:t>
            </w:r>
          </w:p>
        </w:tc>
        <w:tc>
          <w:tcPr>
            <w:tcW w:type="dxa" w:w="260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能体现信息架构和首页入口设计能力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发布流程校验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用必填项和异常提示保证商品信息完整</w:t>
            </w:r>
          </w:p>
        </w:tc>
        <w:tc>
          <w:tcPr>
            <w:tcW w:type="dxa" w:w="238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减少无图、无描述、低质量发布</w:t>
            </w:r>
          </w:p>
        </w:tc>
        <w:tc>
          <w:tcPr>
            <w:tcW w:type="dxa" w:w="260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能体现异常流程和产品规范意识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私信沟通链路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把“想要 - 沟通 - 面交”串成闭环</w:t>
            </w:r>
          </w:p>
        </w:tc>
        <w:tc>
          <w:tcPr>
            <w:tcW w:type="dxa" w:w="238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减少跳转到第三方沟通的成本</w:t>
            </w:r>
          </w:p>
        </w:tc>
        <w:tc>
          <w:tcPr>
            <w:tcW w:type="dxa" w:w="260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能体现核心转化路径设计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我的发布管理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让出闲置用户能追踪商品状态</w:t>
            </w:r>
          </w:p>
        </w:tc>
        <w:tc>
          <w:tcPr>
            <w:tcW w:type="dxa" w:w="238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降低发布后的管理成本</w:t>
            </w:r>
          </w:p>
        </w:tc>
        <w:tc>
          <w:tcPr>
            <w:tcW w:type="dxa" w:w="260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能体现用户生命周期管理意识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3. 用户场景完整：覆盖发布端、浏览端和管理端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本项目的用户路径不是单一页面展示，而是形成了较完整的C端小程序链路：启动登录、校园认证、首页浏览、商品发布、详情页查看、私信沟通、消息列表、个人中心、我的发布。对于产品实习作品集来说，这条链路能展示从用户进入产品到完成关键行为的完整设计能力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8F7F3"/>
            <w:top w:val="single" w:sz="8" w:space="0" w:color="C7E7DE"/>
            <w:left w:val="single" w:sz="8" w:space="0" w:color="C7E7DE"/>
            <w:bottom w:val="single" w:sz="8" w:space="0" w:color="C7E7DE"/>
            <w:right w:val="single" w:sz="8" w:space="0" w:color="C7E7DE"/>
            <w:insideH w:val="single" w:sz="8" w:space="0" w:color="C7E7DE"/>
            <w:insideV w:val="single" w:sz="8" w:space="0" w:color="C7E7DE"/>
          </w:tcPr>
          <w:p>
            <w:pPr>
              <w:spacing w:after="40"/>
            </w:pPr>
            <w:r>
              <w:rPr>
                <w:rFonts w:ascii="Microsoft YaHei" w:hAnsi="Microsoft YaHei" w:eastAsia="Microsoft YaHei"/>
                <w:b/>
                <w:color w:val="08715F"/>
                <w:sz w:val="21"/>
              </w:rPr>
              <w:t>面试口述要点</w:t>
            </w:r>
          </w:p>
          <w:p>
            <w:pPr>
              <w:spacing w:after="0" w:line="288" w:lineRule="auto"/>
            </w:pPr>
            <w:r>
              <w:rPr>
                <w:rFonts w:ascii="Microsoft YaHei" w:hAnsi="Microsoft YaHei" w:eastAsia="Microsoft YaHei"/>
                <w:color w:val="1F2933"/>
                <w:sz w:val="19"/>
              </w:rPr>
              <w:t>我在项目中优先保证核心闭环可跑通：用户能完成认证、发布闲置、被他人看到、进入详情、发起私信，并在个人中心管理发布内容。相比堆叠功能，我更关注“闲置是否真的能流转起来”。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4. 产品规范意识：考虑了异常判断和兜底状态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在原型和流程设计中，项目加入了登录异常、认证驳回、发布信息不完整、空状态、网络异常等判断节点。这样能够避免作品集只展示理想流程，也能体现产品经理对实际开发落地和用户体验边界的关注。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登录环节：手机号为空或验证码错误时拦截登录，并提示重新输入。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认证环节：证件模糊或院校不匹配时认证驳回，返回修改资料。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发布环节：未上传图片或无文字描述时，提交按钮不可点击。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空页面：消息无会话、我的发布无商品时展示引导，而不是留白。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网络异常：任意页面加载失败时提供重试按钮。</w:t>
      </w: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5. 数据化思维：围绕核心转化链路设计指标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1701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指标</w:t>
            </w:r>
          </w:p>
        </w:tc>
        <w:tc>
          <w:tcPr>
            <w:tcW w:type="dxa" w:w="3402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关注问题</w:t>
            </w:r>
          </w:p>
        </w:tc>
        <w:tc>
          <w:tcPr>
            <w:tcW w:type="dxa" w:w="4252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可指导的优化方向</w:t>
            </w:r>
          </w:p>
        </w:tc>
      </w:tr>
      <w:tr>
        <w:tc>
          <w:tcPr>
            <w:tcW w:type="dxa" w:w="170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认证完成率</w:t>
            </w:r>
          </w:p>
        </w:tc>
        <w:tc>
          <w:tcPr>
            <w:tcW w:type="dxa" w:w="340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新用户是否愿意完成校园认证</w:t>
            </w:r>
          </w:p>
        </w:tc>
        <w:tc>
          <w:tcPr>
            <w:tcW w:type="dxa" w:w="425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优化认证材料要求、文案说明和流程长度</w:t>
            </w:r>
          </w:p>
        </w:tc>
      </w:tr>
      <w:tr>
        <w:tc>
          <w:tcPr>
            <w:tcW w:type="dxa" w:w="170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发布成功率</w:t>
            </w:r>
          </w:p>
        </w:tc>
        <w:tc>
          <w:tcPr>
            <w:tcW w:type="dxa" w:w="340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用户是否能顺利发布闲置</w:t>
            </w:r>
          </w:p>
        </w:tc>
        <w:tc>
          <w:tcPr>
            <w:tcW w:type="dxa" w:w="425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优化发布表单、降低填写门槛、增加示例提示</w:t>
            </w:r>
          </w:p>
        </w:tc>
      </w:tr>
      <w:tr>
        <w:tc>
          <w:tcPr>
            <w:tcW w:type="dxa" w:w="170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详情页进入率</w:t>
            </w:r>
          </w:p>
        </w:tc>
        <w:tc>
          <w:tcPr>
            <w:tcW w:type="dxa" w:w="340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首页商品卡片是否有吸引力</w:t>
            </w:r>
          </w:p>
        </w:tc>
        <w:tc>
          <w:tcPr>
            <w:tcW w:type="dxa" w:w="425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优化商品卡片信息、分类入口和瀑布流排序</w:t>
            </w:r>
          </w:p>
        </w:tc>
      </w:tr>
      <w:tr>
        <w:tc>
          <w:tcPr>
            <w:tcW w:type="dxa" w:w="170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私信转化率</w:t>
            </w:r>
          </w:p>
        </w:tc>
        <w:tc>
          <w:tcPr>
            <w:tcW w:type="dxa" w:w="340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用户看到详情后是否愿意沟通</w:t>
            </w:r>
          </w:p>
        </w:tc>
        <w:tc>
          <w:tcPr>
            <w:tcW w:type="dxa" w:w="425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优化详情页信息完整度和私信按钮位置</w:t>
            </w:r>
          </w:p>
        </w:tc>
      </w:tr>
      <w:tr>
        <w:tc>
          <w:tcPr>
            <w:tcW w:type="dxa" w:w="170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闲置流转率</w:t>
            </w:r>
          </w:p>
        </w:tc>
        <w:tc>
          <w:tcPr>
            <w:tcW w:type="dxa" w:w="340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平台是否真正帮助闲置完成交换/赠送/转让</w:t>
            </w:r>
          </w:p>
        </w:tc>
        <w:tc>
          <w:tcPr>
            <w:tcW w:type="dxa" w:w="425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优化供需匹配、搜索筛选和毕业季专题运营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b/>
          <w:color w:val="08715F"/>
          <w:sz w:val="36"/>
        </w:rPr>
        <w:t>二、当前产品存在的不足与局限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作为产品实习级项目，「校易换」的一期设计重点是验证校园闲置流转闭环，因此在交易安全、供需匹配、履约保障、运营机制和商业化方面仍存在一定局限。以下问题并不代表项目不可行，而是下一版本需要重点优化的方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814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不足与局限</w:t>
            </w:r>
          </w:p>
        </w:tc>
        <w:tc>
          <w:tcPr>
            <w:tcW w:type="dxa" w:w="2948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具体表现</w:t>
            </w:r>
          </w:p>
        </w:tc>
        <w:tc>
          <w:tcPr>
            <w:tcW w:type="dxa" w:w="2835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可能影响</w:t>
            </w:r>
          </w:p>
        </w:tc>
        <w:tc>
          <w:tcPr>
            <w:tcW w:type="dxa" w:w="1417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优先级判断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冷启动难度较高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平台同时需要发布者和浏览者，早期商品数量不足会影响浏览体验</w:t>
            </w:r>
          </w:p>
        </w:tc>
        <w:tc>
          <w:tcPr>
            <w:tcW w:type="dxa" w:w="283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首页内容少，用户进入后感知价值不强</w:t>
            </w:r>
          </w:p>
        </w:tc>
        <w:tc>
          <w:tcPr>
            <w:tcW w:type="dxa" w:w="141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高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信任机制仍偏基础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同校认证只能证明身份，无法完全保证物品真实性和履约可靠性</w:t>
            </w:r>
          </w:p>
        </w:tc>
        <w:tc>
          <w:tcPr>
            <w:tcW w:type="dxa" w:w="283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可能出现爽约、描述不符、沟通不友好</w:t>
            </w:r>
          </w:p>
        </w:tc>
        <w:tc>
          <w:tcPr>
            <w:tcW w:type="dxa" w:w="141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高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履约环节缺少强约束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一期以私信沟通和线下面交为主，没有预约确认、完成确认、争议处理机制</w:t>
            </w:r>
          </w:p>
        </w:tc>
        <w:tc>
          <w:tcPr>
            <w:tcW w:type="dxa" w:w="283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交易完成率和用户满意度难以持续提升</w:t>
            </w:r>
          </w:p>
        </w:tc>
        <w:tc>
          <w:tcPr>
            <w:tcW w:type="dxa" w:w="141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中高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发布内容质量不稳定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用户可能上传模糊图片、标题不清楚、描述过少</w:t>
            </w:r>
          </w:p>
        </w:tc>
        <w:tc>
          <w:tcPr>
            <w:tcW w:type="dxa" w:w="283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详情页信息不足，降低私信转化率</w:t>
            </w:r>
          </w:p>
        </w:tc>
        <w:tc>
          <w:tcPr>
            <w:tcW w:type="dxa" w:w="141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中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供需匹配能力较弱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一期更多依赖首页浏览和分类筛选，尚未形成愿望匹配或推荐机制</w:t>
            </w:r>
          </w:p>
        </w:tc>
        <w:tc>
          <w:tcPr>
            <w:tcW w:type="dxa" w:w="283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用户想要某类物品时可能找不到</w:t>
            </w:r>
          </w:p>
        </w:tc>
        <w:tc>
          <w:tcPr>
            <w:tcW w:type="dxa" w:w="141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中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商业化路径不宜过早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校园用户对收费敏感，过早抽佣或收费会降低使用意愿</w:t>
            </w:r>
          </w:p>
        </w:tc>
        <w:tc>
          <w:tcPr>
            <w:tcW w:type="dxa" w:w="283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影响产品冷启动和口碑积累</w:t>
            </w:r>
          </w:p>
        </w:tc>
        <w:tc>
          <w:tcPr>
            <w:tcW w:type="dxa" w:w="141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中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运营依赖毕业季节点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毕业季需求强，但非毕业季发布和浏览活跃度可能下降</w:t>
            </w:r>
          </w:p>
        </w:tc>
        <w:tc>
          <w:tcPr>
            <w:tcW w:type="dxa" w:w="283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平台活跃度存在周期波动</w:t>
            </w:r>
          </w:p>
        </w:tc>
        <w:tc>
          <w:tcPr>
            <w:tcW w:type="dxa" w:w="1417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中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1. 冷启动问题：双边平台需要先解决内容供给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校易换属于典型的校园双边平台：一端是发布闲置的学生，另一端是浏览和私信的学生。如果早期首页商品不足，低年级学生进入后无法找到想要的物品，就会降低复访意愿。因此一期上线时不能只依赖自然增长，需要结合毕业季、社团、班级群、宿舍楼等渠道做定向启动。</w:t>
      </w: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2. 安全问题：同校认证不是交易安全的全部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校园认证能过滤校外人员，但仍无法完全解决物品真实、价格合理、面交爽约等问题。后续需要补充举报、评价、黑名单、交易完成确认等轻量风控机制，避免平台出现“能发布但不可信”的问题。</w:t>
      </w: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3. 流程问题：一期完成了沟通闭环，但履约闭环还不够强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目前产品路径主要覆盖“看到商品 - 发起私信 - 线下沟通”，但对面交时间确认、地点确认、交易完成、交易评价等环节的约束较弱。对于低价物品或免费赠送场景，这种轻量设计有利于降低门槛；但当平台规模扩大后，需要增强履约记录和纠纷处理能力。</w:t>
      </w: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4. 内容问题：发布门槛低和信息质量之间需要平衡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校园闲置平台不能把发布流程做得太复杂，否则毕业生在集中处理物品时会放弃填写；但如果发布信息过少，又会影响浏览者判断。因此后续需要通过模板、示例、智能提示、图片质量检测等方式，在不增加用户负担的情况下提升内容质量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8E8"/>
            <w:top w:val="single" w:sz="8" w:space="0" w:color="C7E7DE"/>
            <w:left w:val="single" w:sz="8" w:space="0" w:color="C7E7DE"/>
            <w:bottom w:val="single" w:sz="8" w:space="0" w:color="C7E7DE"/>
            <w:right w:val="single" w:sz="8" w:space="0" w:color="C7E7DE"/>
            <w:insideH w:val="single" w:sz="8" w:space="0" w:color="C7E7DE"/>
            <w:insideV w:val="single" w:sz="8" w:space="0" w:color="C7E7DE"/>
          </w:tcPr>
          <w:p>
            <w:pPr>
              <w:spacing w:after="40"/>
            </w:pPr>
            <w:r>
              <w:rPr>
                <w:rFonts w:ascii="Microsoft YaHei" w:hAnsi="Microsoft YaHei" w:eastAsia="Microsoft YaHei"/>
                <w:b/>
                <w:color w:val="08715F"/>
                <w:sz w:val="21"/>
              </w:rPr>
              <w:t>面试口述要点</w:t>
            </w:r>
          </w:p>
          <w:p>
            <w:pPr>
              <w:spacing w:after="0" w:line="288" w:lineRule="auto"/>
            </w:pPr>
            <w:r>
              <w:rPr>
                <w:rFonts w:ascii="Microsoft YaHei" w:hAnsi="Microsoft YaHei" w:eastAsia="Microsoft YaHei"/>
                <w:color w:val="1F2933"/>
                <w:sz w:val="19"/>
              </w:rPr>
              <w:t>我认为这个项目当前最大的挑战不是把页面画完整，而是如何让平台在早期真正有供给、有信任、有流转。作品集里我会主动说明这些不足，并给出下一版本的产品化解决方案。</w:t>
            </w:r>
          </w:p>
        </w:tc>
      </w:tr>
    </w:tbl>
    <w:p>
      <w:pPr>
        <w:spacing w:after="80"/>
      </w:pPr>
    </w:p>
    <w:p>
      <w:pPr>
        <w:pStyle w:val="Heading1"/>
      </w:pPr>
      <w:r>
        <w:rPr>
          <w:rFonts w:ascii="Microsoft YaHei" w:hAnsi="Microsoft YaHei" w:eastAsia="Microsoft YaHei"/>
          <w:b/>
          <w:color w:val="08715F"/>
          <w:sz w:val="36"/>
        </w:rPr>
        <w:t>三、下一版本迭代优化方案、功能升级方向、商业化优化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下一版本不建议盲目增加复杂功能，而应围绕“提升供给、提升信任、提升匹配效率、提升履约完成率”四个方向迭代。商业化也不应在冷启动阶段过早介入，而应在校园用户规模和交易心智形成后，以轻量增值服务和校园合作为主。</w:t>
      </w: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1. 二期迭代：优先补强核心链路的体验和信任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814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迭代方向</w:t>
            </w:r>
          </w:p>
        </w:tc>
        <w:tc>
          <w:tcPr>
            <w:tcW w:type="dxa" w:w="2551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具体功能</w:t>
            </w:r>
          </w:p>
        </w:tc>
        <w:tc>
          <w:tcPr>
            <w:tcW w:type="dxa" w:w="2891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解决问题</w:t>
            </w:r>
          </w:p>
        </w:tc>
        <w:tc>
          <w:tcPr>
            <w:tcW w:type="dxa" w:w="2154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预期指标提升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提升供需匹配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愿望清单、相似商品提醒、关键词订阅</w:t>
            </w:r>
          </w:p>
        </w:tc>
        <w:tc>
          <w:tcPr>
            <w:tcW w:type="dxa" w:w="289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用户找不到想要的同校物品</w:t>
            </w:r>
          </w:p>
        </w:tc>
        <w:tc>
          <w:tcPr>
            <w:tcW w:type="dxa" w:w="215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搜索转化率、私信转化率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提升发布质量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发布模板、图片示例、标题提示、必填项优化</w:t>
            </w:r>
          </w:p>
        </w:tc>
        <w:tc>
          <w:tcPr>
            <w:tcW w:type="dxa" w:w="289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商品信息不完整导致沟通成本高</w:t>
            </w:r>
          </w:p>
        </w:tc>
        <w:tc>
          <w:tcPr>
            <w:tcW w:type="dxa" w:w="215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发布成功率、详情停留时长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提升交易信任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举报入口、用户评价、交易完成确认、违规内容下架</w:t>
            </w:r>
          </w:p>
        </w:tc>
        <w:tc>
          <w:tcPr>
            <w:tcW w:type="dxa" w:w="289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交易不安全和爽约风险</w:t>
            </w:r>
          </w:p>
        </w:tc>
        <w:tc>
          <w:tcPr>
            <w:tcW w:type="dxa" w:w="215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投诉率下降、完成率提升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提升履约效率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面交地点推荐、面交时间确认、快捷消息</w:t>
            </w:r>
          </w:p>
        </w:tc>
        <w:tc>
          <w:tcPr>
            <w:tcW w:type="dxa" w:w="289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沟通来回确认时间长</w:t>
            </w:r>
          </w:p>
        </w:tc>
        <w:tc>
          <w:tcPr>
            <w:tcW w:type="dxa" w:w="215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私信后完成率、沟通时长下降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提升内容运营</w:t>
            </w:r>
          </w:p>
        </w:tc>
        <w:tc>
          <w:tcPr>
            <w:tcW w:type="dxa" w:w="255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毕业季专区、宿舍用品专题、教材资料专题</w:t>
            </w:r>
          </w:p>
        </w:tc>
        <w:tc>
          <w:tcPr>
            <w:tcW w:type="dxa" w:w="289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非结构化信息难发现</w:t>
            </w:r>
          </w:p>
        </w:tc>
        <w:tc>
          <w:tcPr>
            <w:tcW w:type="dxa" w:w="215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首页点击率、专题转化率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2. 三期规划：从工具型小程序升级为校园闲置社区</w:t>
      </w: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当基础交易流转稳定后，校易换可以从“发布与浏览工具”升级为“校园闲置生活社区”。三期重点不是做重交易，而是增强用户复用、校园归属感和低成本运营能力。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环保积分体系：用户完成赠送、换物、转让后获得积分或徽章，强化闲置循环的正向反馈。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信用成长体系：基于认证状态、交易完成、评价、举报记录建立轻量信用分。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校园专区运营：按校区、宿舍区、学院、毕业季节点进行内容聚合。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AI辅助发布：根据图片和简短描述自动生成标题、品类和描述建议，降低发布门槛。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失物招领扩展：在不偏离校园互助定位的前提下，扩展到校园物品信息服务。</w:t>
      </w:r>
    </w:p>
    <w:p>
      <w:pPr>
        <w:pStyle w:val="ListBullet"/>
        <w:spacing w:after="60"/>
        <w:ind w:left="113"/>
      </w:pPr>
      <w:r>
        <w:rPr>
          <w:rFonts w:ascii="Microsoft YaHei" w:hAnsi="Microsoft YaHei" w:eastAsia="Microsoft YaHei"/>
          <w:color w:val="1F2933"/>
          <w:sz w:val="21"/>
        </w:rPr>
        <w:t>自提柜或集中交接点合作：探索与校园驿站、宿舍区自提柜合作，提升履约便利性。</w:t>
      </w: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3. 商业化优化：先做规模和口碑，再做轻量变现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814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商业化方向</w:t>
            </w:r>
          </w:p>
        </w:tc>
        <w:tc>
          <w:tcPr>
            <w:tcW w:type="dxa" w:w="1928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适用阶段</w:t>
            </w:r>
          </w:p>
        </w:tc>
        <w:tc>
          <w:tcPr>
            <w:tcW w:type="dxa" w:w="2948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形式</w:t>
            </w:r>
          </w:p>
        </w:tc>
        <w:tc>
          <w:tcPr>
            <w:tcW w:type="dxa" w:w="2721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注意事项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商品置顶 / 急出标签</w:t>
            </w:r>
          </w:p>
        </w:tc>
        <w:tc>
          <w:tcPr>
            <w:tcW w:type="dxa" w:w="192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有稳定发布量后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发布者可付费提升曝光</w:t>
            </w:r>
          </w:p>
        </w:tc>
        <w:tc>
          <w:tcPr>
            <w:tcW w:type="dxa" w:w="272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价格需低，避免影响学生使用意愿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毕业季专题赞助</w:t>
            </w:r>
          </w:p>
        </w:tc>
        <w:tc>
          <w:tcPr>
            <w:tcW w:type="dxa" w:w="192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毕业季高峰期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校内商家、搬家服务、快递点、收纳品牌合作</w:t>
            </w:r>
          </w:p>
        </w:tc>
        <w:tc>
          <w:tcPr>
            <w:tcW w:type="dxa" w:w="272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广告位不能干扰核心浏览体验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校园商家合作</w:t>
            </w:r>
          </w:p>
        </w:tc>
        <w:tc>
          <w:tcPr>
            <w:tcW w:type="dxa" w:w="192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用户规模稳定后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低价生活用品、打印店、维修店合作入口</w:t>
            </w:r>
          </w:p>
        </w:tc>
        <w:tc>
          <w:tcPr>
            <w:tcW w:type="dxa" w:w="272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保持校园服务属性，不做强销售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自提柜/驿站合作</w:t>
            </w:r>
          </w:p>
        </w:tc>
        <w:tc>
          <w:tcPr>
            <w:tcW w:type="dxa" w:w="192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履约需求提升后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提供集中交接点或临时存放服务</w:t>
            </w:r>
          </w:p>
        </w:tc>
        <w:tc>
          <w:tcPr>
            <w:tcW w:type="dxa" w:w="272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涉及线下资源，需要先小范围试点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数据化运营服务</w:t>
            </w:r>
          </w:p>
        </w:tc>
        <w:tc>
          <w:tcPr>
            <w:tcW w:type="dxa" w:w="192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多校区扩展后</w:t>
            </w:r>
          </w:p>
        </w:tc>
        <w:tc>
          <w:tcPr>
            <w:tcW w:type="dxa" w:w="2948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为学校社团或后勤提供闲置流转数据报告</w:t>
            </w:r>
          </w:p>
        </w:tc>
        <w:tc>
          <w:tcPr>
            <w:tcW w:type="dxa" w:w="2721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注意隐私保护，只输出聚合数据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4. 下一版本核心指标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1814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指标</w:t>
            </w:r>
          </w:p>
        </w:tc>
        <w:tc>
          <w:tcPr>
            <w:tcW w:type="dxa" w:w="4082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定义</w:t>
            </w:r>
          </w:p>
        </w:tc>
        <w:tc>
          <w:tcPr>
            <w:tcW w:type="dxa" w:w="3515"/>
            <w:shd w:fill="13A88A"/>
            <w:top w:val="single" w:sz="8" w:space="0" w:color="B7D8CF"/>
            <w:left w:val="single" w:sz="8" w:space="0" w:color="B7D8CF"/>
            <w:bottom w:val="single" w:sz="8" w:space="0" w:color="B7D8CF"/>
            <w:right w:val="single" w:sz="8" w:space="0" w:color="B7D8CF"/>
            <w:insideH w:val="single" w:sz="8" w:space="0" w:color="B7D8CF"/>
            <w:insideV w:val="single" w:sz="8" w:space="0" w:color="B7D8CF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迭代目标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认证完成率</w:t>
            </w:r>
          </w:p>
        </w:tc>
        <w:tc>
          <w:tcPr>
            <w:tcW w:type="dxa" w:w="408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完成登录后成功通过校园认证的用户占比</w:t>
            </w:r>
          </w:p>
        </w:tc>
        <w:tc>
          <w:tcPr>
            <w:tcW w:type="dxa" w:w="351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验证认证流程是否足够顺畅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发布成功率</w:t>
            </w:r>
          </w:p>
        </w:tc>
        <w:tc>
          <w:tcPr>
            <w:tcW w:type="dxa" w:w="408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进入发布页后成功发布商品的用户占比</w:t>
            </w:r>
          </w:p>
        </w:tc>
        <w:tc>
          <w:tcPr>
            <w:tcW w:type="dxa" w:w="351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优化表单和发布门槛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详情页进入率</w:t>
            </w:r>
          </w:p>
        </w:tc>
        <w:tc>
          <w:tcPr>
            <w:tcW w:type="dxa" w:w="408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首页商品卡片被点击进入详情的比例</w:t>
            </w:r>
          </w:p>
        </w:tc>
        <w:tc>
          <w:tcPr>
            <w:tcW w:type="dxa" w:w="351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衡量首页信息展示和商品卡片吸引力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私信转化率</w:t>
            </w:r>
          </w:p>
        </w:tc>
        <w:tc>
          <w:tcPr>
            <w:tcW w:type="dxa" w:w="408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进入详情页后点击私信的比例</w:t>
            </w:r>
          </w:p>
        </w:tc>
        <w:tc>
          <w:tcPr>
            <w:tcW w:type="dxa" w:w="351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衡量商品详情是否足以推动沟通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交易完成率</w:t>
            </w:r>
          </w:p>
        </w:tc>
        <w:tc>
          <w:tcPr>
            <w:tcW w:type="dxa" w:w="408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发起私信后最终确认完成的比例</w:t>
            </w:r>
          </w:p>
        </w:tc>
        <w:tc>
          <w:tcPr>
            <w:tcW w:type="dxa" w:w="351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衡量履约效率和信任机制有效性</w:t>
            </w:r>
          </w:p>
        </w:tc>
      </w:tr>
      <w:tr>
        <w:tc>
          <w:tcPr>
            <w:tcW w:type="dxa" w:w="1814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空状态转化率</w:t>
            </w:r>
          </w:p>
        </w:tc>
        <w:tc>
          <w:tcPr>
            <w:tcW w:type="dxa" w:w="4082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空页面点击引导按钮后的后续行为比例</w:t>
            </w:r>
          </w:p>
        </w:tc>
        <w:tc>
          <w:tcPr>
            <w:tcW w:type="dxa" w:w="3515"/>
            <w:top w:val="single" w:sz="8" w:space="0" w:color="D9E6E1"/>
            <w:left w:val="single" w:sz="8" w:space="0" w:color="D9E6E1"/>
            <w:bottom w:val="single" w:sz="8" w:space="0" w:color="D9E6E1"/>
            <w:right w:val="single" w:sz="8" w:space="0" w:color="D9E6E1"/>
            <w:insideH w:val="single" w:sz="8" w:space="0" w:color="D9E6E1"/>
            <w:insideV w:val="single" w:sz="8" w:space="0" w:color="D9E6E1"/>
            <w:vAlign w:val="center"/>
            <w:shd w:fill="FBFDFC"/>
          </w:tcPr>
          <w:p>
            <w:pPr>
              <w:spacing w:after="0" w:line="269" w:lineRule="auto"/>
            </w:pPr>
            <w:r>
              <w:rPr>
                <w:rFonts w:ascii="Microsoft YaHei" w:hAnsi="Microsoft YaHei" w:eastAsia="Microsoft YaHei"/>
                <w:color w:val="1F2933"/>
                <w:sz w:val="17"/>
              </w:rPr>
              <w:t>优化无内容场景下的用户承接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rFonts w:ascii="Microsoft YaHei" w:hAnsi="Microsoft YaHei" w:eastAsia="Microsoft YaHei"/>
          <w:b/>
          <w:color w:val="1F2933"/>
          <w:sz w:val="28"/>
        </w:rPr>
        <w:t>5. 面试口述总结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8F7F3"/>
            <w:top w:val="single" w:sz="8" w:space="0" w:color="C7E7DE"/>
            <w:left w:val="single" w:sz="8" w:space="0" w:color="C7E7DE"/>
            <w:bottom w:val="single" w:sz="8" w:space="0" w:color="C7E7DE"/>
            <w:right w:val="single" w:sz="8" w:space="0" w:color="C7E7DE"/>
            <w:insideH w:val="single" w:sz="8" w:space="0" w:color="C7E7DE"/>
            <w:insideV w:val="single" w:sz="8" w:space="0" w:color="C7E7DE"/>
          </w:tcPr>
          <w:p>
            <w:pPr>
              <w:spacing w:after="40"/>
            </w:pPr>
            <w:r>
              <w:rPr>
                <w:rFonts w:ascii="Microsoft YaHei" w:hAnsi="Microsoft YaHei" w:eastAsia="Microsoft YaHei"/>
                <w:b/>
                <w:color w:val="08715F"/>
                <w:sz w:val="21"/>
              </w:rPr>
              <w:t>口述版本</w:t>
            </w:r>
          </w:p>
          <w:p>
            <w:pPr>
              <w:spacing w:after="0" w:line="288" w:lineRule="auto"/>
            </w:pPr>
            <w:r>
              <w:rPr>
                <w:rFonts w:ascii="Microsoft YaHei" w:hAnsi="Microsoft YaHei" w:eastAsia="Microsoft YaHei"/>
                <w:color w:val="1F2933"/>
                <w:sz w:val="19"/>
              </w:rPr>
              <w:t>这次项目我最大的收获是：产品设计不能只把功能画完整，还要判断每个功能是否服务于核心目标。校易换的一期目标是跑通校园闲置流转闭环，所以我优先做登录认证、发布、首页、详情、私信和个人中心；同时加入异常流程和空状态，保证产品具备真实落地感。当前项目的不足主要在冷启动、信任保障和履约闭环上，下一版本我会优先通过愿望匹配、评价举报、面交确认、毕业季运营等方式提升供需匹配和交易完成率。商业化上不会过早抽佣，而是先通过置顶、毕业季赞助、校园商家合作等轻量方式探索。</w:t>
            </w:r>
          </w:p>
        </w:tc>
      </w:tr>
    </w:tbl>
    <w:p>
      <w:pPr>
        <w:spacing w:after="80"/>
      </w:pPr>
    </w:p>
    <w:p>
      <w:pPr>
        <w:spacing w:before="0" w:after="100" w:line="300" w:lineRule="auto"/>
      </w:pPr>
      <w:r>
        <w:rPr>
          <w:rFonts w:ascii="Microsoft YaHei" w:hAnsi="Microsoft YaHei" w:eastAsia="Microsoft YaHei"/>
          <w:b w:val="0"/>
          <w:color w:val="1F2933"/>
          <w:sz w:val="21"/>
        </w:rPr>
        <w:t>结论：校易换一期应聚焦“可信任的同校闲置流转工具”，二期补强“匹配和履约”，三期再扩展“校园闲置社区和轻量商业化”。这样的节奏既符合应届生产品项目的落地逻辑，也能体现从用户场景、需求优先级到后续增长的完整产品思维。</w:t>
      </w:r>
    </w:p>
    <w:sectPr w:rsidR="00FC693F" w:rsidRPr="0006063C" w:rsidSect="00034616">
      <w:footerReference w:type="default" r:id="rId9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color w:val="888888"/>
        <w:sz w:val="16"/>
      </w:rPr>
      <w:t>校易换校园闲置交换小程序｜产品项目复盘文档｜产品实习作品集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color w:val="1F29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